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66" w:rsidRDefault="00015E66">
      <w:pPr>
        <w:rPr>
          <w:b/>
          <w:u w:val="single"/>
        </w:rPr>
      </w:pPr>
    </w:p>
    <w:tbl>
      <w:tblPr>
        <w:tblStyle w:val="TableGrid2"/>
        <w:tblW w:w="9603" w:type="dxa"/>
        <w:tblBorders>
          <w:insideH w:val="none" w:sz="0" w:space="0" w:color="auto"/>
          <w:insideV w:val="none" w:sz="0" w:space="0" w:color="auto"/>
        </w:tblBorders>
        <w:tblLook w:val="04A0" w:firstRow="1" w:lastRow="0" w:firstColumn="1" w:lastColumn="0" w:noHBand="0" w:noVBand="1"/>
      </w:tblPr>
      <w:tblGrid>
        <w:gridCol w:w="6250"/>
        <w:gridCol w:w="3353"/>
      </w:tblGrid>
      <w:tr w:rsidR="00015E66" w:rsidRPr="003E5EA9" w:rsidTr="0055403D">
        <w:trPr>
          <w:trHeight w:val="1446"/>
        </w:trPr>
        <w:tc>
          <w:tcPr>
            <w:tcW w:w="9603" w:type="dxa"/>
            <w:gridSpan w:val="2"/>
            <w:shd w:val="clear" w:color="auto" w:fill="C45911"/>
          </w:tcPr>
          <w:p w:rsidR="00015E66" w:rsidRPr="003E5EA9" w:rsidRDefault="00015E66" w:rsidP="0055403D">
            <w:pPr>
              <w:shd w:val="clear" w:color="auto" w:fill="C45911"/>
              <w:rPr>
                <w:rFonts w:ascii="Calibri" w:hAnsi="Calibri" w:cs="Times New Roman"/>
                <w:b/>
                <w:color w:val="FFFFFF"/>
                <w:sz w:val="24"/>
                <w:szCs w:val="24"/>
                <w:lang w:val="en-US"/>
              </w:rPr>
            </w:pPr>
          </w:p>
          <w:p w:rsidR="00015E66" w:rsidRPr="003E5EA9" w:rsidRDefault="00015E66" w:rsidP="0055403D">
            <w:pPr>
              <w:shd w:val="clear" w:color="auto" w:fill="C45911"/>
              <w:jc w:val="center"/>
              <w:rPr>
                <w:rFonts w:ascii="Calibri" w:hAnsi="Calibri" w:cs="Times New Roman"/>
                <w:b/>
                <w:color w:val="FFFFFF"/>
                <w:sz w:val="28"/>
                <w:szCs w:val="28"/>
                <w:lang w:val="en-US"/>
              </w:rPr>
            </w:pPr>
            <w:r w:rsidRPr="003E5EA9">
              <w:rPr>
                <w:rFonts w:ascii="Calibri" w:hAnsi="Calibri" w:cs="Times New Roman"/>
                <w:b/>
                <w:color w:val="FFFFFF"/>
                <w:sz w:val="28"/>
                <w:szCs w:val="28"/>
                <w:lang w:val="en-US"/>
              </w:rPr>
              <w:t>WHANGANUI BAY MAORI RESERVATION TRUST</w:t>
            </w:r>
          </w:p>
          <w:p w:rsidR="00015E66" w:rsidRPr="003E5EA9" w:rsidRDefault="00015E66" w:rsidP="0055403D">
            <w:pPr>
              <w:jc w:val="center"/>
              <w:rPr>
                <w:rFonts w:ascii="Calibri" w:hAnsi="Calibri" w:cs="Times New Roman"/>
                <w:b/>
                <w:color w:val="FFFFFF"/>
                <w:sz w:val="24"/>
                <w:szCs w:val="24"/>
                <w:lang w:val="en-US"/>
              </w:rPr>
            </w:pPr>
          </w:p>
          <w:p w:rsidR="00015E66" w:rsidRPr="003E5EA9" w:rsidRDefault="00015E66" w:rsidP="0055403D">
            <w:pPr>
              <w:jc w:val="center"/>
              <w:rPr>
                <w:rFonts w:ascii="Calibri" w:hAnsi="Calibri" w:cs="Times New Roman"/>
                <w:b/>
                <w:color w:val="FFFFFF"/>
                <w:sz w:val="24"/>
                <w:szCs w:val="24"/>
                <w:lang w:val="en-US"/>
              </w:rPr>
            </w:pPr>
            <w:r w:rsidRPr="003E5EA9">
              <w:rPr>
                <w:rFonts w:ascii="Calibri" w:hAnsi="Calibri" w:cs="Times New Roman"/>
                <w:b/>
                <w:color w:val="FFFFFF"/>
                <w:sz w:val="24"/>
                <w:szCs w:val="24"/>
                <w:lang w:val="en-US"/>
              </w:rPr>
              <w:t>PAPAKAINGA O NGĀTI TE MAUNGA</w:t>
            </w:r>
          </w:p>
          <w:p w:rsidR="00015E66" w:rsidRPr="003E5EA9" w:rsidRDefault="00015E66" w:rsidP="0055403D">
            <w:pPr>
              <w:rPr>
                <w:rFonts w:ascii="Calibri" w:hAnsi="Calibri" w:cs="Times New Roman"/>
                <w:lang w:val="en-US"/>
              </w:rPr>
            </w:pPr>
          </w:p>
        </w:tc>
      </w:tr>
      <w:tr w:rsidR="00015E66" w:rsidRPr="003E5EA9" w:rsidTr="0055403D">
        <w:trPr>
          <w:trHeight w:val="809"/>
        </w:trPr>
        <w:tc>
          <w:tcPr>
            <w:tcW w:w="6250" w:type="dxa"/>
            <w:tcBorders>
              <w:top w:val="single" w:sz="4" w:space="0" w:color="auto"/>
              <w:bottom w:val="nil"/>
              <w:right w:val="single" w:sz="4" w:space="0" w:color="auto"/>
            </w:tcBorders>
          </w:tcPr>
          <w:p w:rsidR="00015E66" w:rsidRPr="003E5EA9" w:rsidRDefault="00015E66" w:rsidP="0055403D">
            <w:pPr>
              <w:rPr>
                <w:rFonts w:ascii="Calibri" w:hAnsi="Calibri" w:cs="Times New Roman"/>
                <w:lang w:val="en-US"/>
              </w:rPr>
            </w:pPr>
          </w:p>
          <w:p w:rsidR="00015E66" w:rsidRPr="001B5CC8" w:rsidRDefault="00015E66" w:rsidP="0055403D">
            <w:pPr>
              <w:rPr>
                <w:rFonts w:ascii="Calibri" w:hAnsi="Calibri" w:cs="Times New Roman"/>
                <w:b/>
                <w:sz w:val="28"/>
                <w:szCs w:val="28"/>
                <w:lang w:val="en-US"/>
              </w:rPr>
            </w:pPr>
            <w:r w:rsidRPr="003E5EA9">
              <w:rPr>
                <w:rFonts w:ascii="Calibri" w:hAnsi="Calibri" w:cs="Times New Roman"/>
                <w:lang w:val="en-US"/>
              </w:rPr>
              <w:t xml:space="preserve">POLICY NAME: </w:t>
            </w:r>
            <w:r w:rsidR="004151D7">
              <w:rPr>
                <w:rFonts w:ascii="Calibri" w:hAnsi="Calibri" w:cs="Times New Roman"/>
                <w:b/>
                <w:sz w:val="28"/>
                <w:szCs w:val="28"/>
                <w:lang w:val="en-US"/>
              </w:rPr>
              <w:t>VISITORS POLICY</w:t>
            </w:r>
          </w:p>
          <w:p w:rsidR="00015E66" w:rsidRPr="003E5EA9" w:rsidRDefault="00015E66" w:rsidP="0055403D">
            <w:pPr>
              <w:rPr>
                <w:rFonts w:ascii="Calibri" w:hAnsi="Calibri" w:cs="Times New Roman"/>
                <w:lang w:val="en-US"/>
              </w:rPr>
            </w:pPr>
          </w:p>
        </w:tc>
        <w:tc>
          <w:tcPr>
            <w:tcW w:w="3353" w:type="dxa"/>
            <w:tcBorders>
              <w:top w:val="single" w:sz="4" w:space="0" w:color="auto"/>
              <w:left w:val="single" w:sz="4" w:space="0" w:color="auto"/>
              <w:bottom w:val="nil"/>
            </w:tcBorders>
          </w:tcPr>
          <w:p w:rsidR="00015E66" w:rsidRPr="003E5EA9" w:rsidRDefault="00015E66" w:rsidP="0055403D">
            <w:pPr>
              <w:rPr>
                <w:rFonts w:ascii="Calibri" w:hAnsi="Calibri" w:cs="Times New Roman"/>
                <w:lang w:val="en-US"/>
              </w:rPr>
            </w:pPr>
          </w:p>
          <w:p w:rsidR="00015E66" w:rsidRPr="003E5EA9" w:rsidRDefault="00015E66" w:rsidP="004151D7">
            <w:pPr>
              <w:rPr>
                <w:rFonts w:ascii="Calibri" w:hAnsi="Calibri" w:cs="Times New Roman"/>
                <w:lang w:val="en-US"/>
              </w:rPr>
            </w:pPr>
            <w:r w:rsidRPr="003E5EA9">
              <w:rPr>
                <w:rFonts w:ascii="Calibri" w:hAnsi="Calibri" w:cs="Times New Roman"/>
                <w:lang w:val="en-US"/>
              </w:rPr>
              <w:t>POLICY NUMBER: P00</w:t>
            </w:r>
            <w:r w:rsidR="004151D7">
              <w:rPr>
                <w:rFonts w:ascii="Calibri" w:hAnsi="Calibri" w:cs="Times New Roman"/>
                <w:lang w:val="en-US"/>
              </w:rPr>
              <w:t>5</w:t>
            </w:r>
          </w:p>
        </w:tc>
      </w:tr>
      <w:tr w:rsidR="00015E66" w:rsidRPr="003E5EA9" w:rsidTr="0055403D">
        <w:trPr>
          <w:trHeight w:val="530"/>
        </w:trPr>
        <w:tc>
          <w:tcPr>
            <w:tcW w:w="6250" w:type="dxa"/>
            <w:tcBorders>
              <w:top w:val="nil"/>
              <w:bottom w:val="single" w:sz="4" w:space="0" w:color="auto"/>
              <w:right w:val="single" w:sz="4" w:space="0" w:color="auto"/>
            </w:tcBorders>
          </w:tcPr>
          <w:p w:rsidR="00015E66" w:rsidRPr="003E5EA9" w:rsidRDefault="00015E66" w:rsidP="0055403D">
            <w:pPr>
              <w:rPr>
                <w:rFonts w:ascii="Calibri" w:hAnsi="Calibri" w:cs="Times New Roman"/>
                <w:lang w:val="en-US"/>
              </w:rPr>
            </w:pPr>
            <w:r w:rsidRPr="003E5EA9">
              <w:rPr>
                <w:rFonts w:ascii="Calibri" w:hAnsi="Calibri" w:cs="Times New Roman"/>
                <w:lang w:val="en-US"/>
              </w:rPr>
              <w:t xml:space="preserve">ORIGINAL AUTHORISATION:  </w:t>
            </w:r>
            <w:r w:rsidR="00B62A04">
              <w:rPr>
                <w:rFonts w:ascii="Calibri" w:hAnsi="Calibri" w:cs="Times New Roman"/>
                <w:lang w:val="en-US"/>
              </w:rPr>
              <w:t>Chairperson</w:t>
            </w:r>
          </w:p>
          <w:p w:rsidR="00015E66" w:rsidRPr="003E5EA9" w:rsidRDefault="00015E66" w:rsidP="0055403D">
            <w:pPr>
              <w:rPr>
                <w:rFonts w:ascii="Calibri" w:hAnsi="Calibri" w:cs="Times New Roman"/>
                <w:lang w:val="en-US"/>
              </w:rPr>
            </w:pPr>
          </w:p>
        </w:tc>
        <w:tc>
          <w:tcPr>
            <w:tcW w:w="3353" w:type="dxa"/>
            <w:tcBorders>
              <w:top w:val="nil"/>
              <w:left w:val="single" w:sz="4" w:space="0" w:color="auto"/>
              <w:bottom w:val="single" w:sz="4" w:space="0" w:color="auto"/>
            </w:tcBorders>
          </w:tcPr>
          <w:p w:rsidR="00015E66" w:rsidRPr="003E5EA9" w:rsidRDefault="00015E66" w:rsidP="0055403D">
            <w:pPr>
              <w:rPr>
                <w:rFonts w:ascii="Calibri" w:hAnsi="Calibri" w:cs="Times New Roman"/>
                <w:lang w:val="en-US"/>
              </w:rPr>
            </w:pPr>
            <w:r w:rsidRPr="003E5EA9">
              <w:rPr>
                <w:rFonts w:ascii="Calibri" w:hAnsi="Calibri" w:cs="Times New Roman"/>
                <w:lang w:val="en-US"/>
              </w:rPr>
              <w:t>DATE:</w:t>
            </w:r>
            <w:r w:rsidR="00B62A04">
              <w:rPr>
                <w:rFonts w:ascii="Calibri" w:hAnsi="Calibri" w:cs="Times New Roman"/>
                <w:lang w:val="en-US"/>
              </w:rPr>
              <w:t xml:space="preserve"> Sep 2017</w:t>
            </w:r>
          </w:p>
        </w:tc>
      </w:tr>
    </w:tbl>
    <w:p w:rsidR="00015E66" w:rsidRPr="003E5EA9" w:rsidRDefault="00015E66" w:rsidP="00015E66">
      <w:pPr>
        <w:rPr>
          <w:rFonts w:ascii="Calibri" w:eastAsia="Times New Roman" w:hAnsi="Calibri" w:cs="Times New Roman"/>
          <w:lang w:val="en-US"/>
        </w:rPr>
      </w:pPr>
    </w:p>
    <w:p w:rsidR="00015E66" w:rsidRPr="003E5EA9" w:rsidRDefault="00015E66" w:rsidP="00015E66">
      <w:pPr>
        <w:rPr>
          <w:rFonts w:ascii="Calibri" w:eastAsia="Times New Roman" w:hAnsi="Calibri" w:cs="Times New Roman"/>
          <w:lang w:val="en-US"/>
        </w:rPr>
      </w:pPr>
      <w:r w:rsidRPr="003E5EA9">
        <w:rPr>
          <w:rFonts w:ascii="Calibri" w:eastAsia="Times New Roman" w:hAnsi="Calibri" w:cs="Times New Roman"/>
          <w:lang w:val="en-US"/>
        </w:rPr>
        <w:t>Version Control:</w:t>
      </w:r>
    </w:p>
    <w:tbl>
      <w:tblPr>
        <w:tblStyle w:val="TableGrid2"/>
        <w:tblW w:w="9548" w:type="dxa"/>
        <w:tblLook w:val="04A0" w:firstRow="1" w:lastRow="0" w:firstColumn="1" w:lastColumn="0" w:noHBand="0" w:noVBand="1"/>
      </w:tblPr>
      <w:tblGrid>
        <w:gridCol w:w="1141"/>
        <w:gridCol w:w="1145"/>
        <w:gridCol w:w="3764"/>
        <w:gridCol w:w="1800"/>
        <w:gridCol w:w="1698"/>
      </w:tblGrid>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Serial</w:t>
            </w:r>
          </w:p>
        </w:tc>
        <w:tc>
          <w:tcPr>
            <w:tcW w:w="1145"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Date</w:t>
            </w:r>
          </w:p>
        </w:tc>
        <w:tc>
          <w:tcPr>
            <w:tcW w:w="3764"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Change</w:t>
            </w:r>
          </w:p>
        </w:tc>
        <w:tc>
          <w:tcPr>
            <w:tcW w:w="1800"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Responsible</w:t>
            </w:r>
          </w:p>
        </w:tc>
        <w:tc>
          <w:tcPr>
            <w:tcW w:w="1698" w:type="dxa"/>
          </w:tcPr>
          <w:p w:rsidR="00015E66" w:rsidRPr="003E5EA9" w:rsidRDefault="00015E66" w:rsidP="0055403D">
            <w:pPr>
              <w:rPr>
                <w:rFonts w:ascii="Calibri" w:hAnsi="Calibri" w:cs="Times New Roman"/>
                <w:lang w:val="en-US"/>
              </w:rPr>
            </w:pPr>
            <w:r w:rsidRPr="003E5EA9">
              <w:rPr>
                <w:rFonts w:ascii="Calibri" w:hAnsi="Calibri" w:cs="Times New Roman"/>
                <w:lang w:val="en-US"/>
              </w:rPr>
              <w:t>Sign</w:t>
            </w:r>
          </w:p>
        </w:tc>
      </w:tr>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p>
        </w:tc>
        <w:tc>
          <w:tcPr>
            <w:tcW w:w="1145" w:type="dxa"/>
          </w:tcPr>
          <w:p w:rsidR="00015E66" w:rsidRPr="003E5EA9" w:rsidRDefault="00015E66" w:rsidP="0055403D">
            <w:pPr>
              <w:rPr>
                <w:rFonts w:ascii="Calibri" w:hAnsi="Calibri" w:cs="Times New Roman"/>
                <w:lang w:val="en-US"/>
              </w:rPr>
            </w:pPr>
          </w:p>
        </w:tc>
        <w:tc>
          <w:tcPr>
            <w:tcW w:w="3764" w:type="dxa"/>
          </w:tcPr>
          <w:p w:rsidR="00015E66" w:rsidRPr="003E5EA9" w:rsidRDefault="00015E66" w:rsidP="0055403D">
            <w:pPr>
              <w:rPr>
                <w:rFonts w:ascii="Calibri" w:hAnsi="Calibri" w:cs="Times New Roman"/>
                <w:lang w:val="en-US"/>
              </w:rPr>
            </w:pPr>
          </w:p>
        </w:tc>
        <w:tc>
          <w:tcPr>
            <w:tcW w:w="1800" w:type="dxa"/>
          </w:tcPr>
          <w:p w:rsidR="00015E66" w:rsidRPr="003E5EA9" w:rsidRDefault="00015E66" w:rsidP="0055403D">
            <w:pPr>
              <w:rPr>
                <w:rFonts w:ascii="Calibri" w:hAnsi="Calibri" w:cs="Times New Roman"/>
                <w:lang w:val="en-US"/>
              </w:rPr>
            </w:pPr>
          </w:p>
        </w:tc>
        <w:tc>
          <w:tcPr>
            <w:tcW w:w="1698" w:type="dxa"/>
          </w:tcPr>
          <w:p w:rsidR="00015E66" w:rsidRPr="003E5EA9" w:rsidRDefault="00015E66" w:rsidP="0055403D">
            <w:pPr>
              <w:rPr>
                <w:rFonts w:ascii="Calibri" w:hAnsi="Calibri" w:cs="Times New Roman"/>
                <w:lang w:val="en-US"/>
              </w:rPr>
            </w:pPr>
          </w:p>
        </w:tc>
      </w:tr>
      <w:tr w:rsidR="00015E66" w:rsidRPr="003E5EA9" w:rsidTr="0055403D">
        <w:trPr>
          <w:trHeight w:val="253"/>
        </w:trPr>
        <w:tc>
          <w:tcPr>
            <w:tcW w:w="1141" w:type="dxa"/>
          </w:tcPr>
          <w:p w:rsidR="00015E66" w:rsidRPr="003E5EA9" w:rsidRDefault="00015E66" w:rsidP="0055403D">
            <w:pPr>
              <w:rPr>
                <w:rFonts w:ascii="Calibri" w:hAnsi="Calibri" w:cs="Times New Roman"/>
                <w:lang w:val="en-US"/>
              </w:rPr>
            </w:pPr>
          </w:p>
        </w:tc>
        <w:tc>
          <w:tcPr>
            <w:tcW w:w="1145" w:type="dxa"/>
          </w:tcPr>
          <w:p w:rsidR="00015E66" w:rsidRPr="003E5EA9" w:rsidRDefault="00015E66" w:rsidP="0055403D">
            <w:pPr>
              <w:rPr>
                <w:rFonts w:ascii="Calibri" w:hAnsi="Calibri" w:cs="Times New Roman"/>
                <w:lang w:val="en-US"/>
              </w:rPr>
            </w:pPr>
          </w:p>
        </w:tc>
        <w:tc>
          <w:tcPr>
            <w:tcW w:w="3764" w:type="dxa"/>
          </w:tcPr>
          <w:p w:rsidR="00015E66" w:rsidRPr="003E5EA9" w:rsidRDefault="00015E66" w:rsidP="0055403D">
            <w:pPr>
              <w:rPr>
                <w:rFonts w:ascii="Calibri" w:hAnsi="Calibri" w:cs="Times New Roman"/>
                <w:lang w:val="en-US"/>
              </w:rPr>
            </w:pPr>
          </w:p>
        </w:tc>
        <w:tc>
          <w:tcPr>
            <w:tcW w:w="1800" w:type="dxa"/>
          </w:tcPr>
          <w:p w:rsidR="00015E66" w:rsidRPr="003E5EA9" w:rsidRDefault="00015E66" w:rsidP="0055403D">
            <w:pPr>
              <w:rPr>
                <w:rFonts w:ascii="Calibri" w:hAnsi="Calibri" w:cs="Times New Roman"/>
                <w:lang w:val="en-US"/>
              </w:rPr>
            </w:pPr>
          </w:p>
        </w:tc>
        <w:tc>
          <w:tcPr>
            <w:tcW w:w="1698" w:type="dxa"/>
          </w:tcPr>
          <w:p w:rsidR="00015E66" w:rsidRPr="003E5EA9" w:rsidRDefault="00015E66" w:rsidP="0055403D">
            <w:pPr>
              <w:rPr>
                <w:rFonts w:ascii="Calibri" w:hAnsi="Calibri" w:cs="Times New Roman"/>
                <w:lang w:val="en-US"/>
              </w:rPr>
            </w:pPr>
          </w:p>
        </w:tc>
      </w:tr>
    </w:tbl>
    <w:p w:rsidR="00015E66" w:rsidRPr="003E5EA9" w:rsidRDefault="00015E66" w:rsidP="00015E66">
      <w:pPr>
        <w:rPr>
          <w:rFonts w:ascii="Calibri" w:eastAsia="Times New Roman" w:hAnsi="Calibri" w:cs="Times New Roman"/>
          <w:lang w:val="en-US"/>
        </w:rPr>
      </w:pPr>
    </w:p>
    <w:p w:rsidR="00015E66" w:rsidRPr="003E5EA9" w:rsidRDefault="00015E66" w:rsidP="00015E66">
      <w:pPr>
        <w:spacing w:line="276" w:lineRule="auto"/>
        <w:rPr>
          <w:rFonts w:ascii="Calibri" w:eastAsia="Times New Roman" w:hAnsi="Calibri" w:cs="Times New Roman"/>
          <w:lang w:val="en-US"/>
        </w:rPr>
      </w:pPr>
      <w:r w:rsidRPr="003E5EA9">
        <w:rPr>
          <w:rFonts w:ascii="Calibri" w:eastAsia="Times New Roman" w:hAnsi="Calibri" w:cs="Times New Roman"/>
          <w:lang w:val="en-US"/>
        </w:rPr>
        <w:t>Associated policies:  The associated policies include:</w:t>
      </w:r>
    </w:p>
    <w:p w:rsidR="00015E66" w:rsidRPr="003E5EA9" w:rsidRDefault="00015E66" w:rsidP="00015E66">
      <w:pPr>
        <w:numPr>
          <w:ilvl w:val="0"/>
          <w:numId w:val="6"/>
        </w:numPr>
        <w:spacing w:line="276" w:lineRule="auto"/>
        <w:contextualSpacing/>
        <w:rPr>
          <w:rFonts w:ascii="Calibri" w:eastAsia="Times New Roman" w:hAnsi="Calibri" w:cs="Times New Roman"/>
          <w:lang w:val="en-US"/>
        </w:rPr>
      </w:pPr>
      <w:r w:rsidRPr="003E5EA9">
        <w:rPr>
          <w:rFonts w:ascii="Calibri" w:eastAsia="Times New Roman" w:hAnsi="Calibri" w:cs="Times New Roman"/>
          <w:lang w:val="en-US"/>
        </w:rPr>
        <w:t xml:space="preserve">Whanganui Bay Maori Reservation </w:t>
      </w:r>
      <w:r>
        <w:rPr>
          <w:rFonts w:ascii="Calibri" w:eastAsia="Times New Roman" w:hAnsi="Calibri" w:cs="Times New Roman"/>
          <w:lang w:val="en-US"/>
        </w:rPr>
        <w:t>Occupancy Policy P001</w:t>
      </w:r>
      <w:r w:rsidRPr="003E5EA9">
        <w:rPr>
          <w:rFonts w:ascii="Calibri" w:eastAsia="Times New Roman" w:hAnsi="Calibri" w:cs="Times New Roman"/>
          <w:lang w:val="en-US"/>
        </w:rPr>
        <w:t>.</w:t>
      </w:r>
    </w:p>
    <w:p w:rsidR="00015E66" w:rsidRPr="003E5EA9" w:rsidRDefault="00015E66" w:rsidP="00015E66">
      <w:pPr>
        <w:spacing w:line="276" w:lineRule="auto"/>
        <w:rPr>
          <w:rFonts w:ascii="Calibri" w:eastAsia="Times New Roman" w:hAnsi="Calibri" w:cs="Times New Roman"/>
          <w:lang w:val="en-US"/>
        </w:rPr>
      </w:pPr>
    </w:p>
    <w:p w:rsidR="00AD4E44" w:rsidRDefault="00AD4E44">
      <w:pPr>
        <w:rPr>
          <w:u w:val="single"/>
        </w:rPr>
      </w:pPr>
    </w:p>
    <w:p w:rsidR="00B7646C" w:rsidRPr="00BD3A26" w:rsidRDefault="004151D7">
      <w:pPr>
        <w:rPr>
          <w:u w:val="single"/>
        </w:rPr>
      </w:pPr>
      <w:r>
        <w:rPr>
          <w:u w:val="single"/>
        </w:rPr>
        <w:t>Definition</w:t>
      </w:r>
    </w:p>
    <w:p w:rsidR="00510DE1" w:rsidRDefault="004151D7" w:rsidP="004151D7">
      <w:pPr>
        <w:pStyle w:val="ListParagraph"/>
        <w:numPr>
          <w:ilvl w:val="0"/>
          <w:numId w:val="7"/>
        </w:numPr>
      </w:pPr>
      <w:r>
        <w:t xml:space="preserve">A visitor is defined as a person who is not </w:t>
      </w:r>
      <w:r w:rsidR="005C0B4F">
        <w:t>entitled</w:t>
      </w:r>
      <w:r>
        <w:t xml:space="preserve"> to be in Whanganui Bay, that is, they are not a descendant of Ngati Te Maunga and Ngati Tuwharetoa.</w:t>
      </w:r>
    </w:p>
    <w:p w:rsidR="004151D7" w:rsidRDefault="004151D7" w:rsidP="004151D7">
      <w:pPr>
        <w:pStyle w:val="ListParagraph"/>
        <w:ind w:left="360"/>
      </w:pPr>
    </w:p>
    <w:p w:rsidR="004151D7" w:rsidRDefault="004151D7" w:rsidP="004151D7">
      <w:pPr>
        <w:pStyle w:val="ListParagraph"/>
        <w:numPr>
          <w:ilvl w:val="0"/>
          <w:numId w:val="7"/>
        </w:numPr>
      </w:pPr>
      <w:r>
        <w:t>Furthermore only descendents of Ngati te Maunga are eligible to stay overnight in Whanganui Bay unless they meet the following visitor criteria:</w:t>
      </w:r>
    </w:p>
    <w:p w:rsidR="004151D7" w:rsidRDefault="004151D7" w:rsidP="004151D7">
      <w:pPr>
        <w:pStyle w:val="ListParagraph"/>
      </w:pPr>
    </w:p>
    <w:p w:rsidR="004151D7" w:rsidRDefault="004151D7" w:rsidP="004151D7">
      <w:pPr>
        <w:pStyle w:val="ListParagraph"/>
        <w:numPr>
          <w:ilvl w:val="1"/>
          <w:numId w:val="7"/>
        </w:numPr>
      </w:pPr>
      <w:r>
        <w:t xml:space="preserve">A </w:t>
      </w:r>
      <w:r w:rsidRPr="00AD4E44">
        <w:rPr>
          <w:u w:val="single"/>
        </w:rPr>
        <w:t>manuhiri</w:t>
      </w:r>
      <w:r>
        <w:t xml:space="preserve"> to the marae for a specific cultural activity.</w:t>
      </w:r>
    </w:p>
    <w:p w:rsidR="004151D7" w:rsidRDefault="004151D7" w:rsidP="004151D7">
      <w:pPr>
        <w:pStyle w:val="ListParagraph"/>
        <w:numPr>
          <w:ilvl w:val="1"/>
          <w:numId w:val="7"/>
        </w:numPr>
      </w:pPr>
      <w:r>
        <w:t xml:space="preserve">A </w:t>
      </w:r>
      <w:r w:rsidR="005C0B4F" w:rsidRPr="005C0B4F">
        <w:rPr>
          <w:u w:val="single"/>
        </w:rPr>
        <w:t>hunaunga</w:t>
      </w:r>
      <w:r w:rsidR="005C0B4F">
        <w:t xml:space="preserve"> and </w:t>
      </w:r>
      <w:r w:rsidR="00AD4E44" w:rsidRPr="00AD4E44">
        <w:rPr>
          <w:u w:val="single"/>
        </w:rPr>
        <w:t>friend</w:t>
      </w:r>
      <w:r w:rsidR="005C0B4F">
        <w:rPr>
          <w:u w:val="single"/>
        </w:rPr>
        <w:t>s</w:t>
      </w:r>
      <w:r>
        <w:t xml:space="preserve"> of an eligible person who must be accompanied by the eligible person</w:t>
      </w:r>
      <w:r w:rsidR="00B62A04">
        <w:t xml:space="preserve"> during their stay.</w:t>
      </w:r>
    </w:p>
    <w:p w:rsidR="004151D7" w:rsidRDefault="004151D7" w:rsidP="004151D7">
      <w:pPr>
        <w:pStyle w:val="ListParagraph"/>
        <w:numPr>
          <w:ilvl w:val="1"/>
          <w:numId w:val="7"/>
        </w:numPr>
      </w:pPr>
      <w:r>
        <w:t xml:space="preserve">An approved </w:t>
      </w:r>
      <w:r w:rsidR="00AD4E44" w:rsidRPr="00AD4E44">
        <w:rPr>
          <w:u w:val="single"/>
        </w:rPr>
        <w:t>worker</w:t>
      </w:r>
      <w:r>
        <w:t xml:space="preserve"> by the Trust for purpose of completing a</w:t>
      </w:r>
      <w:r w:rsidR="00AD4E44">
        <w:t>n</w:t>
      </w:r>
      <w:r>
        <w:t xml:space="preserve"> approved task </w:t>
      </w:r>
      <w:proofErr w:type="spellStart"/>
      <w:r>
        <w:t>ie</w:t>
      </w:r>
      <w:proofErr w:type="spellEnd"/>
      <w:r>
        <w:t xml:space="preserve"> water monitoring</w:t>
      </w:r>
      <w:r w:rsidR="009B700F">
        <w:t xml:space="preserve"> or builders of an approved building</w:t>
      </w:r>
      <w:r>
        <w:t>.</w:t>
      </w:r>
    </w:p>
    <w:p w:rsidR="004151D7" w:rsidRDefault="004151D7" w:rsidP="004151D7">
      <w:pPr>
        <w:pStyle w:val="ListParagraph"/>
        <w:numPr>
          <w:ilvl w:val="1"/>
          <w:numId w:val="7"/>
        </w:numPr>
      </w:pPr>
      <w:r>
        <w:t xml:space="preserve">An approved </w:t>
      </w:r>
      <w:r w:rsidRPr="00AD4E44">
        <w:rPr>
          <w:u w:val="single"/>
        </w:rPr>
        <w:t>visitor</w:t>
      </w:r>
      <w:r>
        <w:t xml:space="preserve"> by the Trust for the purpose of an approved stay.</w:t>
      </w:r>
    </w:p>
    <w:p w:rsidR="0036605C" w:rsidRDefault="0036605C" w:rsidP="004151D7">
      <w:pPr>
        <w:pStyle w:val="ListParagraph"/>
        <w:numPr>
          <w:ilvl w:val="1"/>
          <w:numId w:val="7"/>
        </w:numPr>
      </w:pPr>
      <w:r>
        <w:t xml:space="preserve">Approved </w:t>
      </w:r>
      <w:r w:rsidRPr="0036605C">
        <w:rPr>
          <w:u w:val="single"/>
        </w:rPr>
        <w:t>Climbers</w:t>
      </w:r>
      <w:r>
        <w:t xml:space="preserve"> to the Bay.</w:t>
      </w:r>
    </w:p>
    <w:p w:rsidR="00AD4E44" w:rsidRDefault="00AD4E44" w:rsidP="00510DE1">
      <w:pPr>
        <w:rPr>
          <w:u w:val="single"/>
        </w:rPr>
      </w:pPr>
    </w:p>
    <w:p w:rsidR="00B7646C" w:rsidRPr="00BD3A26" w:rsidRDefault="00B7646C" w:rsidP="00510DE1">
      <w:pPr>
        <w:rPr>
          <w:u w:val="single"/>
        </w:rPr>
      </w:pPr>
      <w:r w:rsidRPr="00BD3A26">
        <w:rPr>
          <w:u w:val="single"/>
        </w:rPr>
        <w:t>Authority</w:t>
      </w:r>
    </w:p>
    <w:p w:rsidR="00510DE1" w:rsidRDefault="004151D7" w:rsidP="004151D7">
      <w:pPr>
        <w:pStyle w:val="ListParagraph"/>
        <w:numPr>
          <w:ilvl w:val="0"/>
          <w:numId w:val="7"/>
        </w:numPr>
      </w:pPr>
      <w:r>
        <w:t>Only the Trust has the authority to make any changes to this policy.  The Trust has the right and obligation to remove any visitor from the land who is not abiding by the rules and values of the Trust</w:t>
      </w:r>
      <w:r w:rsidR="00B62A04">
        <w:t xml:space="preserve"> and of the people of Ngāti Te Maunga</w:t>
      </w:r>
      <w:r>
        <w:t>.</w:t>
      </w:r>
    </w:p>
    <w:p w:rsidR="00AD4E44" w:rsidRDefault="00AD4E44" w:rsidP="00AD4E44">
      <w:pPr>
        <w:rPr>
          <w:u w:val="single"/>
        </w:rPr>
      </w:pPr>
    </w:p>
    <w:p w:rsidR="00AD4E44" w:rsidRDefault="00AD4E44" w:rsidP="00AD4E44">
      <w:pPr>
        <w:rPr>
          <w:u w:val="single"/>
        </w:rPr>
      </w:pPr>
    </w:p>
    <w:p w:rsidR="00AD4E44" w:rsidRPr="00AD4E44" w:rsidRDefault="00AD4E44" w:rsidP="00AD4E44">
      <w:pPr>
        <w:rPr>
          <w:u w:val="single"/>
        </w:rPr>
      </w:pPr>
      <w:r w:rsidRPr="00AD4E44">
        <w:rPr>
          <w:u w:val="single"/>
        </w:rPr>
        <w:t>Managing Visitors</w:t>
      </w:r>
    </w:p>
    <w:p w:rsidR="00AD4E44" w:rsidRDefault="00AD4E44" w:rsidP="005C0B4F">
      <w:pPr>
        <w:pStyle w:val="ListParagraph"/>
        <w:numPr>
          <w:ilvl w:val="0"/>
          <w:numId w:val="7"/>
        </w:numPr>
        <w:spacing w:after="0"/>
      </w:pPr>
      <w:r>
        <w:t>The following are required to be followed for each category of visitor:</w:t>
      </w:r>
    </w:p>
    <w:p w:rsidR="00AD4E44" w:rsidRDefault="00AD4E44" w:rsidP="005C0B4F">
      <w:pPr>
        <w:spacing w:after="0"/>
      </w:pPr>
    </w:p>
    <w:p w:rsidR="00EB33B7" w:rsidRDefault="005C0B4F" w:rsidP="005C0B4F">
      <w:pPr>
        <w:pStyle w:val="ListParagraph"/>
        <w:numPr>
          <w:ilvl w:val="1"/>
          <w:numId w:val="7"/>
        </w:numPr>
        <w:spacing w:after="0"/>
      </w:pPr>
      <w:r w:rsidRPr="005C0B4F">
        <w:rPr>
          <w:u w:val="single"/>
        </w:rPr>
        <w:t>Manuhiri</w:t>
      </w:r>
      <w:r>
        <w:t xml:space="preserve">:  </w:t>
      </w:r>
    </w:p>
    <w:p w:rsidR="00AD4E44" w:rsidRDefault="005C0B4F" w:rsidP="00EB33B7">
      <w:pPr>
        <w:pStyle w:val="ListParagraph"/>
        <w:numPr>
          <w:ilvl w:val="2"/>
          <w:numId w:val="7"/>
        </w:numPr>
        <w:spacing w:after="0"/>
      </w:pPr>
      <w:r>
        <w:t>Provided with full courtesy in keeping with the marae and are the responsibility of the marae committee.</w:t>
      </w:r>
    </w:p>
    <w:p w:rsidR="00EB33B7" w:rsidRDefault="005C0B4F" w:rsidP="005C0B4F">
      <w:pPr>
        <w:pStyle w:val="ListParagraph"/>
        <w:numPr>
          <w:ilvl w:val="1"/>
          <w:numId w:val="7"/>
        </w:numPr>
        <w:spacing w:after="0"/>
      </w:pPr>
      <w:r w:rsidRPr="005C0B4F">
        <w:rPr>
          <w:u w:val="single"/>
        </w:rPr>
        <w:t>Hunaunga and Friends</w:t>
      </w:r>
      <w:r>
        <w:t xml:space="preserve">:  </w:t>
      </w:r>
    </w:p>
    <w:p w:rsidR="00EB33B7" w:rsidRDefault="005C0B4F" w:rsidP="00EB33B7">
      <w:pPr>
        <w:pStyle w:val="ListParagraph"/>
        <w:numPr>
          <w:ilvl w:val="2"/>
          <w:numId w:val="7"/>
        </w:numPr>
        <w:spacing w:after="0"/>
      </w:pPr>
      <w:r>
        <w:t xml:space="preserve">Friends are to be escorted during all visits and must be aware of all the rules relevant to their stay.  </w:t>
      </w:r>
    </w:p>
    <w:p w:rsidR="005C0B4F" w:rsidRDefault="005C0B4F" w:rsidP="00EB33B7">
      <w:pPr>
        <w:pStyle w:val="ListParagraph"/>
        <w:numPr>
          <w:ilvl w:val="2"/>
          <w:numId w:val="7"/>
        </w:numPr>
        <w:spacing w:after="0"/>
      </w:pPr>
      <w:r>
        <w:t>The hosts are responsible for their friends and the behaviour of their friends.</w:t>
      </w:r>
    </w:p>
    <w:p w:rsidR="00EB33B7" w:rsidRDefault="009B700F" w:rsidP="005C0B4F">
      <w:pPr>
        <w:pStyle w:val="ListParagraph"/>
        <w:numPr>
          <w:ilvl w:val="1"/>
          <w:numId w:val="7"/>
        </w:numPr>
        <w:spacing w:after="0"/>
      </w:pPr>
      <w:r>
        <w:rPr>
          <w:u w:val="single"/>
        </w:rPr>
        <w:t>Workers</w:t>
      </w:r>
      <w:r w:rsidRPr="009B700F">
        <w:t>:</w:t>
      </w:r>
      <w:r>
        <w:t xml:space="preserve"> </w:t>
      </w:r>
    </w:p>
    <w:p w:rsidR="00EB33B7" w:rsidRDefault="00EB33B7" w:rsidP="00EB33B7">
      <w:pPr>
        <w:pStyle w:val="ListParagraph"/>
        <w:numPr>
          <w:ilvl w:val="2"/>
          <w:numId w:val="7"/>
        </w:numPr>
        <w:spacing w:after="0"/>
      </w:pPr>
      <w:r>
        <w:t xml:space="preserve">These workers must have written approval from the Trust.  </w:t>
      </w:r>
    </w:p>
    <w:p w:rsidR="00EB33B7" w:rsidRDefault="00EB33B7" w:rsidP="00EB33B7">
      <w:pPr>
        <w:pStyle w:val="ListParagraph"/>
        <w:numPr>
          <w:ilvl w:val="2"/>
          <w:numId w:val="7"/>
        </w:numPr>
        <w:spacing w:after="0"/>
      </w:pPr>
      <w:r>
        <w:t>The home-people must be informed of suc</w:t>
      </w:r>
      <w:r w:rsidR="00B62A04">
        <w:t>h</w:t>
      </w:r>
      <w:bookmarkStart w:id="0" w:name="_GoBack"/>
      <w:bookmarkEnd w:id="0"/>
      <w:r>
        <w:t xml:space="preserve"> workers.  </w:t>
      </w:r>
    </w:p>
    <w:p w:rsidR="00EB33B7" w:rsidRDefault="00EB33B7" w:rsidP="00EB33B7">
      <w:pPr>
        <w:pStyle w:val="ListParagraph"/>
        <w:numPr>
          <w:ilvl w:val="2"/>
          <w:numId w:val="7"/>
        </w:numPr>
        <w:spacing w:after="0"/>
      </w:pPr>
      <w:r>
        <w:t xml:space="preserve">They must carry on them this written approval.  </w:t>
      </w:r>
    </w:p>
    <w:p w:rsidR="00EB33B7" w:rsidRDefault="00EB33B7" w:rsidP="00EB33B7">
      <w:pPr>
        <w:pStyle w:val="ListParagraph"/>
        <w:numPr>
          <w:ilvl w:val="2"/>
          <w:numId w:val="7"/>
        </w:numPr>
        <w:spacing w:after="0"/>
      </w:pPr>
      <w:r>
        <w:t xml:space="preserve">They must make their presence known on the land to our home people before commencing work.  </w:t>
      </w:r>
    </w:p>
    <w:p w:rsidR="009B700F" w:rsidRDefault="00EB33B7" w:rsidP="00EB33B7">
      <w:pPr>
        <w:pStyle w:val="ListParagraph"/>
        <w:numPr>
          <w:ilvl w:val="2"/>
          <w:numId w:val="7"/>
        </w:numPr>
        <w:spacing w:after="0"/>
      </w:pPr>
      <w:r>
        <w:t>Any builders working on approved occupancy buildings must be accompanied by the eligible person at all times.</w:t>
      </w:r>
    </w:p>
    <w:p w:rsidR="00C56005" w:rsidRDefault="00EB33B7" w:rsidP="00EB33B7">
      <w:pPr>
        <w:pStyle w:val="ListParagraph"/>
        <w:numPr>
          <w:ilvl w:val="2"/>
          <w:numId w:val="7"/>
        </w:numPr>
        <w:spacing w:after="0"/>
      </w:pPr>
      <w:r w:rsidRPr="00C56005">
        <w:rPr>
          <w:u w:val="single"/>
        </w:rPr>
        <w:t>Visitors and Visiting Groups</w:t>
      </w:r>
      <w:r w:rsidRPr="00EB33B7">
        <w:t>:</w:t>
      </w:r>
      <w:r>
        <w:t xml:space="preserve">  </w:t>
      </w:r>
      <w:r w:rsidR="00C56005">
        <w:t xml:space="preserve">Written approval must be obtained from the Trust.  In general, visitors and visiting groups are not encouraged to be visiting the Bay.  The charter and Strategic Plan clearly advocate that the Bay is for the exclusive use of the descendants of Te Maunga. </w:t>
      </w:r>
    </w:p>
    <w:p w:rsidR="00EB33B7" w:rsidRDefault="00C56005" w:rsidP="00EB33B7">
      <w:pPr>
        <w:pStyle w:val="ListParagraph"/>
        <w:numPr>
          <w:ilvl w:val="2"/>
          <w:numId w:val="7"/>
        </w:numPr>
        <w:spacing w:after="0"/>
      </w:pPr>
      <w:r>
        <w:t>Any w</w:t>
      </w:r>
      <w:r w:rsidR="00EB33B7">
        <w:t xml:space="preserve">orkers must have written approval from the Trust.  </w:t>
      </w:r>
    </w:p>
    <w:p w:rsidR="00EB33B7" w:rsidRDefault="00EB33B7" w:rsidP="00EB33B7">
      <w:pPr>
        <w:pStyle w:val="ListParagraph"/>
        <w:numPr>
          <w:ilvl w:val="2"/>
          <w:numId w:val="7"/>
        </w:numPr>
        <w:spacing w:after="0"/>
      </w:pPr>
      <w:r>
        <w:t>The home-people must be informed of suc</w:t>
      </w:r>
      <w:r w:rsidR="00C56005">
        <w:t>h</w:t>
      </w:r>
      <w:r>
        <w:t xml:space="preserve"> workers.  </w:t>
      </w:r>
    </w:p>
    <w:p w:rsidR="00EB33B7" w:rsidRDefault="00EB33B7" w:rsidP="00EB33B7">
      <w:pPr>
        <w:pStyle w:val="ListParagraph"/>
        <w:numPr>
          <w:ilvl w:val="2"/>
          <w:numId w:val="7"/>
        </w:numPr>
        <w:spacing w:after="0"/>
      </w:pPr>
      <w:r>
        <w:t xml:space="preserve">They must carry on them this written approval. </w:t>
      </w:r>
    </w:p>
    <w:p w:rsidR="00EB33B7" w:rsidRDefault="00EB33B7" w:rsidP="00EB33B7">
      <w:pPr>
        <w:pStyle w:val="ListParagraph"/>
        <w:numPr>
          <w:ilvl w:val="2"/>
          <w:numId w:val="7"/>
        </w:numPr>
        <w:spacing w:after="0"/>
      </w:pPr>
      <w:r>
        <w:t>Suitable hosts are to be responsible for these people.</w:t>
      </w:r>
    </w:p>
    <w:p w:rsidR="00EB33B7" w:rsidRDefault="00C56005" w:rsidP="00C56005">
      <w:pPr>
        <w:pStyle w:val="ListParagraph"/>
        <w:numPr>
          <w:ilvl w:val="2"/>
          <w:numId w:val="7"/>
        </w:numPr>
        <w:spacing w:after="0"/>
      </w:pPr>
      <w:r>
        <w:t xml:space="preserve">Visitors will be required to pay a fee and this will be outlined in the written authority. </w:t>
      </w:r>
    </w:p>
    <w:p w:rsidR="002B5B75" w:rsidRDefault="002B5B75" w:rsidP="002B5B75">
      <w:pPr>
        <w:pStyle w:val="ListParagraph"/>
        <w:numPr>
          <w:ilvl w:val="2"/>
          <w:numId w:val="7"/>
        </w:numPr>
        <w:spacing w:after="0"/>
      </w:pPr>
      <w:r>
        <w:t>Visitors will be responsible for any damage incurred.</w:t>
      </w:r>
    </w:p>
    <w:p w:rsidR="002B5B75" w:rsidRDefault="002B5B75" w:rsidP="002B5B75">
      <w:pPr>
        <w:pStyle w:val="ListParagraph"/>
        <w:numPr>
          <w:ilvl w:val="2"/>
          <w:numId w:val="7"/>
        </w:numPr>
        <w:spacing w:after="0"/>
      </w:pPr>
      <w:r>
        <w:t>Fishing may occur in-line with the local fishing rules for visitors and reservation land.  No boats maybe bought down the access road – boats may only be landed from the lake.</w:t>
      </w:r>
    </w:p>
    <w:p w:rsidR="002B5B75" w:rsidRDefault="002B5B75" w:rsidP="002B5B75">
      <w:pPr>
        <w:pStyle w:val="ListParagraph"/>
        <w:numPr>
          <w:ilvl w:val="2"/>
          <w:numId w:val="7"/>
        </w:numPr>
        <w:spacing w:after="0"/>
      </w:pPr>
      <w:r>
        <w:t>No fires are permitted, unless written approval is given prior.</w:t>
      </w:r>
    </w:p>
    <w:p w:rsidR="002B5B75" w:rsidRDefault="002B5B75" w:rsidP="002B5B75">
      <w:pPr>
        <w:pStyle w:val="ListParagraph"/>
        <w:numPr>
          <w:ilvl w:val="2"/>
          <w:numId w:val="7"/>
        </w:numPr>
        <w:spacing w:after="0"/>
      </w:pPr>
      <w:r>
        <w:t>Visitors to the marae must obtain written approval from the marae separate to the Trust.</w:t>
      </w:r>
    </w:p>
    <w:p w:rsidR="00D451F7" w:rsidRDefault="00D451F7" w:rsidP="00D451F7">
      <w:pPr>
        <w:pStyle w:val="ListParagraph"/>
        <w:spacing w:after="0"/>
        <w:ind w:left="1800"/>
      </w:pPr>
    </w:p>
    <w:p w:rsidR="002B5B75" w:rsidRPr="00D451F7" w:rsidRDefault="002B5B75" w:rsidP="002B5B75">
      <w:pPr>
        <w:spacing w:after="0"/>
        <w:rPr>
          <w:u w:val="single"/>
        </w:rPr>
      </w:pPr>
      <w:r w:rsidRPr="00D451F7">
        <w:rPr>
          <w:u w:val="single"/>
        </w:rPr>
        <w:t>Health and Safety</w:t>
      </w:r>
    </w:p>
    <w:p w:rsidR="002B5B75" w:rsidRDefault="002B5B75" w:rsidP="002B5B75">
      <w:pPr>
        <w:spacing w:after="0"/>
      </w:pPr>
    </w:p>
    <w:p w:rsidR="002B5B75" w:rsidRDefault="002B5B75" w:rsidP="002B5B75">
      <w:pPr>
        <w:pStyle w:val="ListParagraph"/>
        <w:numPr>
          <w:ilvl w:val="0"/>
          <w:numId w:val="7"/>
        </w:numPr>
        <w:spacing w:after="0"/>
      </w:pPr>
      <w:r>
        <w:t>All visitors must present their own health and safety policy for review by the Trust prior, this includes individuals and groups – this must include the following:</w:t>
      </w:r>
    </w:p>
    <w:p w:rsidR="002B5B75" w:rsidRDefault="002B5B75" w:rsidP="002B5B75">
      <w:pPr>
        <w:pStyle w:val="ListParagraph"/>
        <w:spacing w:after="0"/>
        <w:ind w:left="360"/>
      </w:pPr>
    </w:p>
    <w:p w:rsidR="002B5B75" w:rsidRDefault="002B5B75" w:rsidP="002B5B75">
      <w:pPr>
        <w:pStyle w:val="ListParagraph"/>
        <w:numPr>
          <w:ilvl w:val="1"/>
          <w:numId w:val="7"/>
        </w:numPr>
        <w:spacing w:after="0"/>
      </w:pPr>
      <w:r>
        <w:t>First Aid supplies.</w:t>
      </w:r>
    </w:p>
    <w:p w:rsidR="002B5B75" w:rsidRDefault="002B5B75" w:rsidP="002B5B75">
      <w:pPr>
        <w:pStyle w:val="ListParagraph"/>
        <w:numPr>
          <w:ilvl w:val="1"/>
          <w:numId w:val="7"/>
        </w:numPr>
        <w:spacing w:after="0"/>
      </w:pPr>
      <w:r>
        <w:t>Communication devices for the visit.</w:t>
      </w:r>
    </w:p>
    <w:p w:rsidR="002B5B75" w:rsidRDefault="002B5B75" w:rsidP="002B5B75">
      <w:pPr>
        <w:pStyle w:val="ListParagraph"/>
        <w:numPr>
          <w:ilvl w:val="1"/>
          <w:numId w:val="7"/>
        </w:numPr>
        <w:spacing w:after="0"/>
      </w:pPr>
      <w:r>
        <w:t>Transport for the visit.</w:t>
      </w:r>
    </w:p>
    <w:p w:rsidR="002B5B75" w:rsidRDefault="002B5B75" w:rsidP="002B5B75">
      <w:pPr>
        <w:pStyle w:val="ListParagraph"/>
        <w:numPr>
          <w:ilvl w:val="1"/>
          <w:numId w:val="7"/>
        </w:numPr>
        <w:spacing w:after="0"/>
      </w:pPr>
      <w:r>
        <w:t>First Aid qualified people for the visit.</w:t>
      </w:r>
    </w:p>
    <w:p w:rsidR="002B5B75" w:rsidRDefault="002B5B75" w:rsidP="002B5B75">
      <w:pPr>
        <w:pStyle w:val="ListParagraph"/>
        <w:numPr>
          <w:ilvl w:val="1"/>
          <w:numId w:val="7"/>
        </w:numPr>
        <w:spacing w:after="0"/>
      </w:pPr>
      <w:r>
        <w:t>Instruction to the nearest medical centre.</w:t>
      </w:r>
    </w:p>
    <w:p w:rsidR="002B5B75" w:rsidRDefault="002B5B75" w:rsidP="002B5B75">
      <w:pPr>
        <w:pStyle w:val="ListParagraph"/>
        <w:numPr>
          <w:ilvl w:val="1"/>
          <w:numId w:val="7"/>
        </w:numPr>
        <w:spacing w:after="0"/>
      </w:pPr>
      <w:r>
        <w:lastRenderedPageBreak/>
        <w:t>Instructions on call for the Westpac Helicopter Service.</w:t>
      </w:r>
    </w:p>
    <w:p w:rsidR="00DB583D" w:rsidRDefault="00DB583D" w:rsidP="00DB583D">
      <w:pPr>
        <w:pStyle w:val="ListParagraph"/>
        <w:spacing w:after="0"/>
        <w:ind w:left="1080"/>
      </w:pPr>
    </w:p>
    <w:p w:rsidR="002B5B75" w:rsidRDefault="002B5B75" w:rsidP="002B5B75">
      <w:pPr>
        <w:pStyle w:val="ListParagraph"/>
        <w:numPr>
          <w:ilvl w:val="0"/>
          <w:numId w:val="7"/>
        </w:numPr>
        <w:spacing w:after="0"/>
      </w:pPr>
      <w:r>
        <w:t>All visitors must read and acknowledge the Trust Health and Safety policies relevant to their stay.</w:t>
      </w:r>
    </w:p>
    <w:p w:rsidR="00DB583D" w:rsidRDefault="00DB583D" w:rsidP="00DB583D">
      <w:pPr>
        <w:spacing w:after="0"/>
      </w:pPr>
    </w:p>
    <w:p w:rsidR="00DB583D" w:rsidRPr="00DB583D" w:rsidRDefault="00DB583D" w:rsidP="00DB583D">
      <w:pPr>
        <w:spacing w:after="0"/>
        <w:rPr>
          <w:u w:val="single"/>
        </w:rPr>
      </w:pPr>
      <w:r w:rsidRPr="00DB583D">
        <w:rPr>
          <w:u w:val="single"/>
        </w:rPr>
        <w:t>Signing In and Signing Out</w:t>
      </w:r>
    </w:p>
    <w:p w:rsidR="00DB583D" w:rsidRDefault="00DB583D" w:rsidP="00DB583D">
      <w:pPr>
        <w:spacing w:after="0"/>
      </w:pPr>
    </w:p>
    <w:p w:rsidR="00DB583D" w:rsidRDefault="00DB583D" w:rsidP="002B5B75">
      <w:pPr>
        <w:pStyle w:val="ListParagraph"/>
        <w:numPr>
          <w:ilvl w:val="0"/>
          <w:numId w:val="7"/>
        </w:numPr>
        <w:spacing w:after="0"/>
      </w:pPr>
      <w:r>
        <w:t>All visitors must sign in and out of the visitor’s book, excluding manuhiri.</w:t>
      </w:r>
    </w:p>
    <w:p w:rsidR="00C9121B" w:rsidRDefault="00C9121B" w:rsidP="00C9121B">
      <w:pPr>
        <w:spacing w:after="0"/>
      </w:pPr>
    </w:p>
    <w:p w:rsidR="00DB583D" w:rsidRDefault="00DB583D" w:rsidP="00DB583D">
      <w:pPr>
        <w:spacing w:after="0"/>
      </w:pPr>
    </w:p>
    <w:p w:rsidR="00AD4E44" w:rsidRDefault="00AD4E44" w:rsidP="00AD4E44"/>
    <w:p w:rsidR="00AD4E44" w:rsidRDefault="00AD4E44" w:rsidP="00AD4E44"/>
    <w:p w:rsidR="00B7646C" w:rsidRDefault="00B7646C" w:rsidP="00B7646C">
      <w:pPr>
        <w:pStyle w:val="ListParagraph"/>
        <w:ind w:left="360"/>
      </w:pPr>
    </w:p>
    <w:sectPr w:rsidR="00B76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8F" w:rsidRDefault="00294E8F" w:rsidP="00B62A04">
      <w:pPr>
        <w:spacing w:after="0" w:line="240" w:lineRule="auto"/>
      </w:pPr>
      <w:r>
        <w:separator/>
      </w:r>
    </w:p>
  </w:endnote>
  <w:endnote w:type="continuationSeparator" w:id="0">
    <w:p w:rsidR="00294E8F" w:rsidRDefault="00294E8F" w:rsidP="00B6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8F" w:rsidRDefault="00294E8F" w:rsidP="00B62A04">
      <w:pPr>
        <w:spacing w:after="0" w:line="240" w:lineRule="auto"/>
      </w:pPr>
      <w:r>
        <w:separator/>
      </w:r>
    </w:p>
  </w:footnote>
  <w:footnote w:type="continuationSeparator" w:id="0">
    <w:p w:rsidR="00294E8F" w:rsidRDefault="00294E8F" w:rsidP="00B6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506"/>
    <w:multiLevelType w:val="hybridMultilevel"/>
    <w:tmpl w:val="15EEC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9C45FC"/>
    <w:multiLevelType w:val="hybridMultilevel"/>
    <w:tmpl w:val="3162EB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3C376B"/>
    <w:multiLevelType w:val="hybridMultilevel"/>
    <w:tmpl w:val="9280DD16"/>
    <w:lvl w:ilvl="0" w:tplc="04810019">
      <w:start w:val="1"/>
      <w:numFmt w:val="lowerLetter"/>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3" w15:restartNumberingAfterBreak="0">
    <w:nsid w:val="5AD44717"/>
    <w:multiLevelType w:val="hybridMultilevel"/>
    <w:tmpl w:val="E0A6D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CE778B"/>
    <w:multiLevelType w:val="hybridMultilevel"/>
    <w:tmpl w:val="3A8A1C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D936AE2"/>
    <w:multiLevelType w:val="hybridMultilevel"/>
    <w:tmpl w:val="178836F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E050299"/>
    <w:multiLevelType w:val="hybridMultilevel"/>
    <w:tmpl w:val="99BA1E3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22"/>
    <w:rsid w:val="00015E66"/>
    <w:rsid w:val="0007796D"/>
    <w:rsid w:val="0012607A"/>
    <w:rsid w:val="00294E8F"/>
    <w:rsid w:val="002A74C1"/>
    <w:rsid w:val="002B5B75"/>
    <w:rsid w:val="002E6962"/>
    <w:rsid w:val="0036605C"/>
    <w:rsid w:val="003B03CA"/>
    <w:rsid w:val="003C3322"/>
    <w:rsid w:val="003D4BB3"/>
    <w:rsid w:val="003E5820"/>
    <w:rsid w:val="004151D7"/>
    <w:rsid w:val="004F3D83"/>
    <w:rsid w:val="00510DE1"/>
    <w:rsid w:val="005502AF"/>
    <w:rsid w:val="005C0B4F"/>
    <w:rsid w:val="007423A9"/>
    <w:rsid w:val="00962F7F"/>
    <w:rsid w:val="00986AE9"/>
    <w:rsid w:val="009B700F"/>
    <w:rsid w:val="00A35F80"/>
    <w:rsid w:val="00AD4E44"/>
    <w:rsid w:val="00B20368"/>
    <w:rsid w:val="00B62A04"/>
    <w:rsid w:val="00B7646C"/>
    <w:rsid w:val="00BD3A26"/>
    <w:rsid w:val="00BE4310"/>
    <w:rsid w:val="00C56005"/>
    <w:rsid w:val="00C65BB9"/>
    <w:rsid w:val="00C9121B"/>
    <w:rsid w:val="00D451F7"/>
    <w:rsid w:val="00DA37DB"/>
    <w:rsid w:val="00DB583D"/>
    <w:rsid w:val="00EB33B7"/>
    <w:rsid w:val="00F82CC4"/>
    <w:rsid w:val="00F92B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2457"/>
  <w15:chartTrackingRefBased/>
  <w15:docId w15:val="{A92884A2-D798-40F8-AA68-AF56154F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22"/>
    <w:pPr>
      <w:ind w:left="720"/>
      <w:contextualSpacing/>
    </w:pPr>
  </w:style>
  <w:style w:type="table" w:customStyle="1" w:styleId="TableGrid2">
    <w:name w:val="Table Grid2"/>
    <w:basedOn w:val="TableNormal"/>
    <w:next w:val="TableGrid"/>
    <w:uiPriority w:val="39"/>
    <w:rsid w:val="00015E66"/>
    <w:pPr>
      <w:spacing w:after="0" w:line="240" w:lineRule="auto"/>
    </w:pPr>
    <w:rPr>
      <w:rFonts w:eastAsia="Times New Roman"/>
      <w:lang w:val="mi-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04"/>
  </w:style>
  <w:style w:type="paragraph" w:styleId="Footer">
    <w:name w:val="footer"/>
    <w:basedOn w:val="Normal"/>
    <w:link w:val="FooterChar"/>
    <w:uiPriority w:val="99"/>
    <w:unhideWhenUsed/>
    <w:rsid w:val="00B6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Tegel Foods Ltd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Blandina Diamond</dc:creator>
  <cp:keywords/>
  <dc:description/>
  <cp:lastModifiedBy>Blandina Diamond</cp:lastModifiedBy>
  <cp:revision>21</cp:revision>
  <dcterms:created xsi:type="dcterms:W3CDTF">2017-07-01T03:58:00Z</dcterms:created>
  <dcterms:modified xsi:type="dcterms:W3CDTF">2018-10-13T02:25:00Z</dcterms:modified>
</cp:coreProperties>
</file>